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jc w:val="center"/>
        <w:rPr>
          <w:rFonts w:hint="eastAsia" w:ascii="宋体" w:hAnsi="宋体"/>
          <w:sz w:val="30"/>
          <w:szCs w:val="30"/>
        </w:rPr>
      </w:pPr>
      <w:r>
        <w:rPr>
          <w:rFonts w:ascii="宋体" w:hAnsi="宋体"/>
          <w:sz w:val="30"/>
          <w:szCs w:val="30"/>
        </w:rPr>
        <w:t>技 术 规 格</w:t>
      </w:r>
    </w:p>
    <w:p>
      <w:pPr>
        <w:jc w:val="center"/>
        <w:rPr>
          <w:rFonts w:hint="default" w:ascii="微软雅黑" w:hAnsi="微软雅黑" w:eastAsia="微软雅黑" w:cs="微软雅黑"/>
          <w:b/>
          <w:bCs/>
          <w:sz w:val="28"/>
          <w:szCs w:val="36"/>
          <w:lang w:val="en-US" w:eastAsia="zh-CN"/>
        </w:rPr>
      </w:pPr>
      <w:r>
        <w:rPr>
          <w:rFonts w:hint="eastAsia" w:ascii="宋体" w:hAnsi="宋体" w:eastAsia="宋体" w:cs="宋体"/>
          <w:b/>
          <w:bCs/>
          <w:sz w:val="24"/>
          <w:szCs w:val="32"/>
          <w:lang w:val="en-US" w:eastAsia="zh-CN"/>
        </w:rPr>
        <w:t>高通量荧光定量PCR系统</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一、 </w:t>
      </w:r>
      <w:r>
        <w:rPr>
          <w:rFonts w:hint="eastAsia" w:ascii="宋体" w:hAnsi="宋体" w:eastAsia="宋体" w:cs="宋体"/>
          <w:b/>
          <w:bCs/>
          <w:sz w:val="24"/>
          <w:szCs w:val="24"/>
        </w:rPr>
        <w:t>设备用途：</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本项目需求的高通量荧光定量 PCR 仪系统可用于样本的基因表达分析研究，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包括目的基因的定性、定量检测，基因表达差异分析，进行 SNP 单核苷酸多态 </w:t>
      </w:r>
    </w:p>
    <w:p>
      <w:pPr>
        <w:keepNext w:val="0"/>
        <w:keepLines w:val="0"/>
        <w:widowControl/>
        <w:suppressLineNumbers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color w:val="000000"/>
          <w:kern w:val="0"/>
          <w:sz w:val="24"/>
          <w:szCs w:val="24"/>
          <w:lang w:val="en-US" w:eastAsia="zh-CN" w:bidi="ar"/>
        </w:rPr>
        <w:t xml:space="preserve">性和突变位点的分析检测。 </w:t>
      </w:r>
    </w:p>
    <w:p>
      <w:pPr>
        <w:rPr>
          <w:rFonts w:hint="eastAsia" w:ascii="宋体" w:hAnsi="宋体" w:eastAsia="宋体" w:cs="宋体"/>
          <w:i w:val="0"/>
          <w:iCs w:val="0"/>
          <w:caps w:val="0"/>
          <w:color w:val="333333"/>
          <w:spacing w:val="0"/>
          <w:sz w:val="24"/>
          <w:szCs w:val="24"/>
          <w:shd w:val="clear" w:color="auto" w:fill="FFFFFF"/>
        </w:rPr>
      </w:pPr>
    </w:p>
    <w:p>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b/>
          <w:bCs/>
          <w:sz w:val="24"/>
          <w:szCs w:val="24"/>
        </w:rPr>
        <w:t>技术参数：</w:t>
      </w:r>
    </w:p>
    <w:p>
      <w:pPr>
        <w:jc w:val="center"/>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设备一</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#2.1.1. 模块配置：仪器配备 384 孔模块和标准 96 孔模块，可根据不同样本检测通量需求，由用户自行手动更换模块且无需校准。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2.1.2. 精密度：最低可分辨 1.5 倍拷贝数的差异。</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2.1.3．反应体积：384孔模式：5-20μL ；标准96孔模式：10-100μL。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2.1.4. 光学系统：高强度白色固态光源，单个光源使用寿命不低于 </w:t>
      </w:r>
      <w:r>
        <w:rPr>
          <w:rFonts w:hint="default" w:ascii="Times New Roman" w:hAnsi="Times New Roman" w:eastAsia="宋体" w:cs="Times New Roman"/>
          <w:color w:val="000000"/>
          <w:kern w:val="0"/>
          <w:sz w:val="24"/>
          <w:szCs w:val="24"/>
          <w:lang w:val="en-US" w:eastAsia="zh-CN" w:bidi="ar"/>
        </w:rPr>
        <w:t xml:space="preserve">10000 </w:t>
      </w:r>
      <w:r>
        <w:rPr>
          <w:rFonts w:hint="eastAsia" w:ascii="宋体" w:hAnsi="宋体" w:eastAsia="宋体" w:cs="宋体"/>
          <w:color w:val="000000"/>
          <w:kern w:val="0"/>
          <w:sz w:val="24"/>
          <w:szCs w:val="24"/>
          <w:lang w:val="en-US" w:eastAsia="zh-CN" w:bidi="ar"/>
        </w:rPr>
        <w:t>小时，激发波长：</w:t>
      </w:r>
      <w:r>
        <w:rPr>
          <w:rFonts w:hint="default" w:ascii="Times New Roman" w:hAnsi="Times New Roman" w:eastAsia="宋体" w:cs="Times New Roman"/>
          <w:color w:val="000000"/>
          <w:kern w:val="0"/>
          <w:sz w:val="24"/>
          <w:szCs w:val="24"/>
          <w:lang w:val="en-US" w:eastAsia="zh-CN" w:bidi="ar"/>
        </w:rPr>
        <w:t>390-710 nm</w:t>
      </w:r>
      <w:r>
        <w:rPr>
          <w:rFonts w:hint="eastAsia" w:ascii="宋体" w:hAnsi="宋体" w:eastAsia="宋体" w:cs="宋体"/>
          <w:color w:val="000000"/>
          <w:kern w:val="0"/>
          <w:sz w:val="24"/>
          <w:szCs w:val="24"/>
          <w:lang w:val="en-US" w:eastAsia="zh-CN" w:bidi="ar"/>
        </w:rPr>
        <w:t>，连续不间断。</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2.1.5. 校正：无需 </w:t>
      </w:r>
      <w:r>
        <w:rPr>
          <w:rFonts w:hint="default" w:ascii="Times New Roman" w:hAnsi="Times New Roman" w:eastAsia="宋体" w:cs="Times New Roman"/>
          <w:color w:val="000000"/>
          <w:kern w:val="0"/>
          <w:sz w:val="24"/>
          <w:szCs w:val="24"/>
          <w:lang w:val="en-US" w:eastAsia="zh-CN" w:bidi="ar"/>
        </w:rPr>
        <w:t xml:space="preserve">ROX </w:t>
      </w:r>
      <w:r>
        <w:rPr>
          <w:rFonts w:hint="eastAsia" w:ascii="宋体" w:hAnsi="宋体" w:eastAsia="宋体" w:cs="宋体"/>
          <w:color w:val="000000"/>
          <w:kern w:val="0"/>
          <w:sz w:val="24"/>
          <w:szCs w:val="24"/>
          <w:lang w:val="en-US" w:eastAsia="zh-CN" w:bidi="ar"/>
        </w:rPr>
        <w:t xml:space="preserve">等被动染料校正。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2.1.6. 检测器：科研级制冷CCD，整板信号同时检测，无时间差。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#2.1.7.升降温速率：温控模块最高升降温速率</w:t>
      </w:r>
      <w:r>
        <w:rPr>
          <w:rFonts w:hint="default" w:ascii="Times New Roman" w:hAnsi="Times New Roman" w:eastAsia="宋体" w:cs="Times New Roman"/>
          <w:color w:val="000000"/>
          <w:kern w:val="0"/>
          <w:sz w:val="24"/>
          <w:szCs w:val="24"/>
          <w:lang w:val="en-US" w:eastAsia="zh-CN" w:bidi="ar"/>
        </w:rPr>
        <w:t>≥6.</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°C/</w:t>
      </w:r>
      <w:r>
        <w:rPr>
          <w:rFonts w:hint="eastAsia" w:ascii="宋体" w:hAnsi="宋体" w:eastAsia="宋体" w:cs="宋体"/>
          <w:color w:val="000000"/>
          <w:kern w:val="0"/>
          <w:sz w:val="24"/>
          <w:szCs w:val="24"/>
          <w:lang w:val="en-US" w:eastAsia="zh-CN" w:bidi="ar"/>
        </w:rPr>
        <w:t>秒。</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*2.1.8. 温度均一性：≤±0.4℃。</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#2.1.9. 标配检测通道：</w:t>
      </w:r>
      <w:r>
        <w:rPr>
          <w:rFonts w:hint="default" w:ascii="Times New Roman" w:hAnsi="Times New Roman" w:eastAsia="宋体" w:cs="Times New Roman"/>
          <w:color w:val="000000"/>
          <w:kern w:val="0"/>
          <w:sz w:val="24"/>
          <w:szCs w:val="24"/>
          <w:lang w:val="en-US" w:eastAsia="zh-CN" w:bidi="ar"/>
        </w:rPr>
        <w:t xml:space="preserve">6 </w:t>
      </w:r>
      <w:r>
        <w:rPr>
          <w:rFonts w:hint="eastAsia" w:ascii="宋体" w:hAnsi="宋体" w:eastAsia="宋体" w:cs="宋体"/>
          <w:color w:val="000000"/>
          <w:kern w:val="0"/>
          <w:sz w:val="24"/>
          <w:szCs w:val="24"/>
          <w:lang w:val="en-US" w:eastAsia="zh-CN" w:bidi="ar"/>
        </w:rPr>
        <w:t xml:space="preserve">个，兼容市面上常用的荧光染料。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2.1.10. 熔解曲线温度分辨率：0.01 ℃。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2.1.11. 所有样本同时检测：所有样本同时激发并采集数据，孔间无时间差。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#2.1.12.高分辨率熔解曲线 </w:t>
      </w:r>
      <w:r>
        <w:rPr>
          <w:rFonts w:hint="default" w:ascii="Times New Roman" w:hAnsi="Times New Roman" w:eastAsia="宋体" w:cs="Times New Roman"/>
          <w:color w:val="000000"/>
          <w:kern w:val="0"/>
          <w:sz w:val="24"/>
          <w:szCs w:val="24"/>
          <w:lang w:val="en-US" w:eastAsia="zh-CN" w:bidi="ar"/>
        </w:rPr>
        <w:t>HRM</w:t>
      </w:r>
      <w:r>
        <w:rPr>
          <w:rFonts w:hint="eastAsia" w:ascii="宋体" w:hAnsi="宋体" w:eastAsia="宋体" w:cs="宋体"/>
          <w:color w:val="000000"/>
          <w:kern w:val="0"/>
          <w:sz w:val="24"/>
          <w:szCs w:val="24"/>
          <w:lang w:val="en-US" w:eastAsia="zh-CN" w:bidi="ar"/>
        </w:rPr>
        <w:t>：支持。</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#2.1.13.激发滤光片与检测滤光片可自由组合，标配情况下提供不少于 </w:t>
      </w:r>
      <w:r>
        <w:rPr>
          <w:rFonts w:hint="eastAsia" w:ascii="Times New Roman" w:hAnsi="Times New Roman" w:eastAsia="宋体" w:cs="Times New Roman"/>
          <w:color w:val="000000"/>
          <w:kern w:val="0"/>
          <w:sz w:val="24"/>
          <w:szCs w:val="24"/>
          <w:lang w:val="en-US" w:eastAsia="zh-CN" w:bidi="ar"/>
        </w:rPr>
        <w:t>19</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种不同的组合的检测模式。</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#2.1.14.配套审计追踪软件。</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配置：</w:t>
      </w:r>
    </w:p>
    <w:p>
      <w:pPr>
        <w:keepNext w:val="0"/>
        <w:keepLines w:val="0"/>
        <w:widowControl/>
        <w:numPr>
          <w:ilvl w:val="0"/>
          <w:numId w:val="1"/>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荧光定量PCR仪（96+384模块）：一套</w:t>
      </w:r>
    </w:p>
    <w:p>
      <w:pPr>
        <w:keepNext w:val="0"/>
        <w:keepLines w:val="0"/>
        <w:widowControl/>
        <w:numPr>
          <w:ilvl w:val="0"/>
          <w:numId w:val="1"/>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控制电脑：一台</w:t>
      </w:r>
    </w:p>
    <w:p>
      <w:pPr>
        <w:keepNext w:val="0"/>
        <w:keepLines w:val="0"/>
        <w:widowControl/>
        <w:numPr>
          <w:ilvl w:val="0"/>
          <w:numId w:val="1"/>
        </w:numPr>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荧光定量PCR仪(384模块): 一套</w:t>
      </w:r>
    </w:p>
    <w:p>
      <w:pPr>
        <w:keepNext w:val="0"/>
        <w:keepLines w:val="0"/>
        <w:widowControl/>
        <w:numPr>
          <w:ilvl w:val="0"/>
          <w:numId w:val="1"/>
        </w:numPr>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操作软件、分析软件：一套</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numPr>
          <w:ilvl w:val="0"/>
          <w:numId w:val="2"/>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技术服务要求：</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 设备安装调试: 在买方指定的地点完成安装调试，并配合买方进行测试验收。 </w:t>
      </w:r>
    </w:p>
    <w:p>
      <w:pPr>
        <w:keepNext w:val="0"/>
        <w:keepLines w:val="0"/>
        <w:widowControl/>
        <w:suppressLineNumbers w:val="0"/>
        <w:jc w:val="left"/>
        <w:rPr>
          <w:rFonts w:hint="default"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 xml:space="preserve">3.2. 培训：在用户所在地对用户进行免费培训，培训内容包括仪器的技术原理、操作、样品制备、数据处理、基本维护等。 </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 质保期为验收合格后整机质保 60 个月，由生产厂家直接负责。投标方对配件耗材费用，给予不低于6.5折的折扣优惠。</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3.5. 维修响应时间: 接到维修通知后，24 小时内作出响应，3 个工作日内到场排除故障。 </w:t>
      </w:r>
    </w:p>
    <w:p>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3.6.交货地点：用户指定地点。</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3.7.交货时间：在合同签订生效后50日历日内交货。</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*3.8.付款方式：</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对于国产产品，50%凭货到现场后用户代表签字并加盖单位公章后的签收单支付；45%凭用户代表签字并加盖单位公章后的验收报告支付；5%质保金验收一年结束后凭用户代表签字并加盖单位公章后的报告支付。</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对于进口产品，采用即期不可撤消信用证等国际贸易支付条件支付：</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85%凭合同要求单据支付；</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10%凭用户代表签字并加盖单位公章后的验收报告支付；</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5%质保金验收一年结束后凭用户代表签字并加盖单位公章后的报告支付。</w:t>
      </w: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3.9业绩：每提供一个在投标截止日起近3年内相同产品项目合同案例加1分，最高不超过6分，案例以提供的合同为准，要求必须提供与最终用户签订的合同首页、合同金额所在页、签字盖章页复印件作为证明。</w:t>
      </w:r>
    </w:p>
    <w:p>
      <w:pPr>
        <w:numPr>
          <w:ilvl w:val="0"/>
          <w:numId w:val="0"/>
        </w:numPr>
        <w:adjustRightInd w:val="0"/>
        <w:snapToGrid w:val="0"/>
        <w:spacing w:line="360" w:lineRule="auto"/>
        <w:jc w:val="left"/>
        <w:rPr>
          <w:rFonts w:hint="eastAsia"/>
          <w:b/>
          <w:bCs/>
          <w:sz w:val="32"/>
          <w:szCs w:val="24"/>
        </w:rPr>
      </w:pPr>
    </w:p>
    <w:p>
      <w:pPr>
        <w:numPr>
          <w:ilvl w:val="0"/>
          <w:numId w:val="0"/>
        </w:numPr>
        <w:adjustRightInd w:val="0"/>
        <w:snapToGrid w:val="0"/>
        <w:spacing w:line="360" w:lineRule="auto"/>
        <w:jc w:val="left"/>
        <w:rPr>
          <w:rFonts w:hint="eastAsia" w:eastAsia="宋体"/>
          <w:b/>
          <w:bCs/>
          <w:sz w:val="32"/>
          <w:szCs w:val="24"/>
          <w:lang w:eastAsia="zh-CN"/>
        </w:rPr>
      </w:pPr>
      <w:r>
        <w:rPr>
          <w:rFonts w:hint="eastAsia"/>
          <w:b/>
          <w:bCs/>
          <w:sz w:val="32"/>
          <w:szCs w:val="24"/>
          <w:lang w:eastAsia="zh-CN"/>
        </w:rPr>
        <w:t>四、资格性审查</w:t>
      </w:r>
    </w:p>
    <w:tbl>
      <w:tblPr>
        <w:tblStyle w:val="2"/>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96"/>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01" w:type="dxa"/>
            <w:shd w:val="clear" w:color="auto" w:fill="FFFFFF"/>
            <w:noWrap w:val="0"/>
            <w:vAlign w:val="center"/>
          </w:tcPr>
          <w:p>
            <w:pPr>
              <w:jc w:val="center"/>
              <w:rPr>
                <w:rFonts w:ascii="宋体" w:hAnsi="宋体" w:cs="宋体"/>
                <w:b/>
                <w:bCs/>
                <w:sz w:val="24"/>
              </w:rPr>
            </w:pPr>
            <w:r>
              <w:rPr>
                <w:rFonts w:hint="eastAsia" w:ascii="宋体" w:hAnsi="宋体" w:cs="宋体"/>
                <w:b/>
                <w:bCs/>
                <w:sz w:val="24"/>
              </w:rPr>
              <w:t>序号</w:t>
            </w:r>
          </w:p>
        </w:tc>
        <w:tc>
          <w:tcPr>
            <w:tcW w:w="8778" w:type="dxa"/>
            <w:gridSpan w:val="2"/>
            <w:shd w:val="clear" w:color="auto" w:fill="FFFFFF"/>
            <w:noWrap w:val="0"/>
            <w:vAlign w:val="center"/>
          </w:tcPr>
          <w:p>
            <w:pPr>
              <w:ind w:right="-124" w:rightChars="-59"/>
              <w:jc w:val="center"/>
              <w:rPr>
                <w:rFonts w:ascii="宋体" w:hAnsi="宋体" w:cs="宋体"/>
                <w:b/>
                <w:bCs/>
                <w:sz w:val="24"/>
              </w:rPr>
            </w:pPr>
            <w:r>
              <w:rPr>
                <w:rFonts w:hint="eastAsia" w:ascii="宋体" w:hAnsi="宋体" w:cs="宋体"/>
                <w:b/>
                <w:bCs/>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restart"/>
            <w:noWrap w:val="0"/>
            <w:vAlign w:val="center"/>
          </w:tcPr>
          <w:p>
            <w:pPr>
              <w:jc w:val="center"/>
              <w:rPr>
                <w:rFonts w:ascii="宋体" w:hAnsi="宋体" w:cs="Tahoma"/>
                <w:sz w:val="24"/>
              </w:rPr>
            </w:pPr>
            <w:r>
              <w:rPr>
                <w:rFonts w:hint="eastAsia" w:ascii="宋体" w:hAnsi="宋体" w:cs="Tahoma"/>
                <w:sz w:val="24"/>
              </w:rPr>
              <w:t>1</w:t>
            </w:r>
          </w:p>
        </w:tc>
        <w:tc>
          <w:tcPr>
            <w:tcW w:w="2296" w:type="dxa"/>
            <w:vMerge w:val="restart"/>
            <w:noWrap w:val="0"/>
            <w:vAlign w:val="center"/>
          </w:tcPr>
          <w:p>
            <w:pPr>
              <w:rPr>
                <w:rFonts w:ascii="宋体" w:hAnsi="宋体" w:cs="Tahoma"/>
                <w:sz w:val="24"/>
              </w:rPr>
            </w:pPr>
            <w:r>
              <w:rPr>
                <w:rFonts w:hint="eastAsia" w:ascii="宋体" w:hAnsi="宋体" w:cs="Tahoma"/>
                <w:kern w:val="28"/>
                <w:sz w:val="24"/>
              </w:rPr>
              <w:t>具备《政府采购法》第二十二条供应商资格条件</w:t>
            </w:r>
          </w:p>
        </w:tc>
        <w:tc>
          <w:tcPr>
            <w:tcW w:w="6482" w:type="dxa"/>
            <w:noWrap w:val="0"/>
            <w:vAlign w:val="center"/>
          </w:tcPr>
          <w:p>
            <w:pPr>
              <w:rPr>
                <w:rFonts w:ascii="宋体" w:hAnsi="宋体" w:cs="Tahoma"/>
                <w:sz w:val="24"/>
              </w:rPr>
            </w:pPr>
            <w:r>
              <w:rPr>
                <w:rFonts w:hint="eastAsia" w:ascii="宋体" w:hAnsi="宋体" w:cs="Tahoma"/>
                <w:sz w:val="24"/>
              </w:rPr>
              <w:t>具有独立承担民事责任的能力；</w:t>
            </w:r>
            <w:r>
              <w:rPr>
                <w:rFonts w:hint="eastAsia" w:ascii="宋体" w:hAnsi="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 xml:space="preserve">具有良好的商业信誉和健全的财务会计制度；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 xml:space="preserve">具有履行合同所必需的设备和专业技术能力；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 xml:space="preserve">有依法缴纳税收和社会保障资金的良好记录；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 xml:space="preserve">参加招标投标活动前三年内，在经营活动中没有重大违法记录；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2</w:t>
            </w:r>
          </w:p>
        </w:tc>
        <w:tc>
          <w:tcPr>
            <w:tcW w:w="8778" w:type="dxa"/>
            <w:gridSpan w:val="2"/>
            <w:noWrap w:val="0"/>
            <w:vAlign w:val="center"/>
          </w:tcPr>
          <w:p>
            <w:pPr>
              <w:rPr>
                <w:rFonts w:ascii="宋体" w:hAnsi="宋体" w:cs="Tahoma"/>
                <w:sz w:val="24"/>
              </w:rPr>
            </w:pPr>
            <w:r>
              <w:rPr>
                <w:rFonts w:hint="eastAsia" w:ascii="宋体" w:hAnsi="宋体" w:cs="宋体"/>
                <w:kern w:val="0"/>
                <w:sz w:val="24"/>
              </w:rPr>
              <w:t>在中华人民共和国境内依法注册的，具有独立承担民事责任能力，遵守国家法律法规，具有良好信誉，具有履行合同能力和良好的履行合同的记录，具有良好资金、财务状况的法人实体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3</w:t>
            </w:r>
          </w:p>
        </w:tc>
        <w:tc>
          <w:tcPr>
            <w:tcW w:w="8778" w:type="dxa"/>
            <w:gridSpan w:val="2"/>
            <w:noWrap w:val="0"/>
            <w:vAlign w:val="center"/>
          </w:tcPr>
          <w:p>
            <w:pPr>
              <w:rPr>
                <w:rFonts w:ascii="宋体" w:hAnsi="宋体" w:cs="Tahoma"/>
                <w:kern w:val="28"/>
                <w:sz w:val="24"/>
              </w:rPr>
            </w:pPr>
            <w:r>
              <w:rPr>
                <w:rFonts w:hint="eastAsia" w:ascii="宋体" w:hAnsi="宋体" w:cs="Tahoma"/>
                <w:kern w:val="28"/>
                <w:sz w:val="24"/>
              </w:rPr>
              <w:t>为采购项目提供整体设计、规范编制或者项目管理、监理、检测等服务的供应商，不得参加本项目投标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4</w:t>
            </w:r>
          </w:p>
        </w:tc>
        <w:tc>
          <w:tcPr>
            <w:tcW w:w="8778" w:type="dxa"/>
            <w:gridSpan w:val="2"/>
            <w:noWrap w:val="0"/>
            <w:vAlign w:val="center"/>
          </w:tcPr>
          <w:p>
            <w:pPr>
              <w:rPr>
                <w:rFonts w:ascii="宋体" w:hAnsi="宋体" w:cs="Tahoma"/>
                <w:kern w:val="28"/>
                <w:sz w:val="24"/>
              </w:rPr>
            </w:pPr>
            <w:r>
              <w:rPr>
                <w:rFonts w:hint="eastAsia" w:ascii="宋体" w:hAnsi="宋体" w:cs="宋体"/>
                <w:kern w:val="0"/>
                <w:sz w:val="24"/>
              </w:rPr>
              <w:t>投标单位负责人为同一人或者存在直接控股、管理关系的不同供应商，不得参加同一合同项下的政府采购活动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5</w:t>
            </w:r>
          </w:p>
        </w:tc>
        <w:tc>
          <w:tcPr>
            <w:tcW w:w="8778" w:type="dxa"/>
            <w:gridSpan w:val="2"/>
            <w:noWrap w:val="0"/>
            <w:vAlign w:val="center"/>
          </w:tcPr>
          <w:p>
            <w:pPr>
              <w:rPr>
                <w:rFonts w:ascii="宋体" w:hAnsi="宋体" w:cs="Tahoma"/>
                <w:sz w:val="24"/>
              </w:rPr>
            </w:pPr>
            <w:r>
              <w:rPr>
                <w:rFonts w:hint="eastAsia" w:ascii="宋体" w:hAnsi="宋体" w:cs="Tahoma"/>
                <w:sz w:val="24"/>
              </w:rPr>
              <w:t>银行出具的资信证明文件或公司上一年度经审计的审计报告（投标人必须提供，但由专业担保机构已出具投标担保函的除外）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6</w:t>
            </w:r>
          </w:p>
        </w:tc>
        <w:tc>
          <w:tcPr>
            <w:tcW w:w="8778" w:type="dxa"/>
            <w:gridSpan w:val="2"/>
            <w:noWrap w:val="0"/>
            <w:vAlign w:val="center"/>
          </w:tcPr>
          <w:p>
            <w:pPr>
              <w:tabs>
                <w:tab w:val="left" w:pos="5580"/>
              </w:tabs>
              <w:adjustRightInd w:val="0"/>
              <w:snapToGrid w:val="0"/>
              <w:ind w:firstLine="480" w:firstLineChars="200"/>
              <w:rPr>
                <w:rFonts w:ascii="宋体" w:hAnsi="宋体" w:cs="Tahoma"/>
                <w:sz w:val="24"/>
              </w:rPr>
            </w:pPr>
            <w:r>
              <w:rPr>
                <w:rFonts w:hint="eastAsia" w:ascii="宋体" w:hAnsi="宋体" w:cs="宋体"/>
                <w:sz w:val="24"/>
              </w:rPr>
              <w:t>依法缴纳税收的记录（提供投标截止日期之前</w:t>
            </w:r>
            <w:r>
              <w:rPr>
                <w:rFonts w:hint="eastAsia" w:ascii="宋体" w:hAnsi="宋体" w:cs="宋体"/>
                <w:sz w:val="24"/>
                <w:highlight w:val="yellow"/>
              </w:rPr>
              <w:t>12个月</w:t>
            </w:r>
            <w:r>
              <w:rPr>
                <w:rFonts w:hint="eastAsia" w:ascii="宋体" w:hAnsi="宋体" w:cs="宋体"/>
                <w:sz w:val="24"/>
              </w:rPr>
              <w:t>内任何一期纳税记录复印件并加盖公章）（自行编写无效）</w:t>
            </w:r>
            <w:r>
              <w:rPr>
                <w:rFonts w:hint="eastAsia" w:ascii="宋体" w:hAnsi="宋体" w:cs="仿宋_GB2312"/>
                <w:color w:val="FF0000"/>
                <w:sz w:val="24"/>
                <w:highlight w:val="yellow"/>
              </w:rPr>
              <w:t>（依法免税的供应商，须提供相应文件证明其依法免税）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noWrap w:val="0"/>
            <w:vAlign w:val="center"/>
          </w:tcPr>
          <w:p>
            <w:pPr>
              <w:jc w:val="center"/>
              <w:rPr>
                <w:rFonts w:ascii="宋体" w:hAnsi="宋体" w:cs="Tahoma"/>
                <w:sz w:val="24"/>
              </w:rPr>
            </w:pPr>
            <w:r>
              <w:rPr>
                <w:rFonts w:hint="eastAsia" w:ascii="宋体" w:hAnsi="宋体" w:cs="Tahoma"/>
                <w:sz w:val="24"/>
              </w:rPr>
              <w:t>7</w:t>
            </w:r>
          </w:p>
        </w:tc>
        <w:tc>
          <w:tcPr>
            <w:tcW w:w="8778" w:type="dxa"/>
            <w:gridSpan w:val="2"/>
            <w:noWrap w:val="0"/>
            <w:vAlign w:val="center"/>
          </w:tcPr>
          <w:p>
            <w:pPr>
              <w:jc w:val="left"/>
              <w:rPr>
                <w:rFonts w:ascii="宋体" w:hAnsi="宋体" w:cs="Tahoma"/>
                <w:sz w:val="24"/>
              </w:rPr>
            </w:pPr>
            <w:r>
              <w:rPr>
                <w:rFonts w:hint="eastAsia" w:ascii="宋体" w:hAnsi="宋体" w:cs="Tahoma"/>
                <w:sz w:val="24"/>
              </w:rPr>
              <w:t>依法缴纳社会保障资金的记录（提供投标截止日期之前</w:t>
            </w:r>
            <w:r>
              <w:rPr>
                <w:rFonts w:hint="eastAsia" w:ascii="宋体" w:hAnsi="宋体" w:cs="Tahoma"/>
                <w:sz w:val="24"/>
                <w:highlight w:val="yellow"/>
              </w:rPr>
              <w:t>12个月</w:t>
            </w:r>
            <w:r>
              <w:rPr>
                <w:rFonts w:hint="eastAsia" w:ascii="宋体" w:hAnsi="宋体" w:cs="Tahoma"/>
                <w:sz w:val="24"/>
              </w:rPr>
              <w:t>内任何一期缴费记录复印件并加盖公章）（自行编写无效）</w:t>
            </w:r>
            <w:r>
              <w:rPr>
                <w:rFonts w:hint="eastAsia" w:ascii="宋体" w:hAnsi="宋体" w:cs="仿宋_GB2312"/>
                <w:color w:val="FF0000"/>
                <w:sz w:val="24"/>
                <w:highlight w:val="yellow"/>
              </w:rPr>
              <w:t>（依法不需要缴纳社会保障资金的供应商，须提供相应文件证明其依法不需要缴纳社会保障资金）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noWrap w:val="0"/>
            <w:vAlign w:val="center"/>
          </w:tcPr>
          <w:p>
            <w:pPr>
              <w:jc w:val="center"/>
              <w:rPr>
                <w:rFonts w:ascii="宋体" w:hAnsi="宋体" w:cs="Tahoma"/>
                <w:sz w:val="24"/>
              </w:rPr>
            </w:pPr>
            <w:r>
              <w:rPr>
                <w:rFonts w:hint="eastAsia" w:ascii="宋体" w:hAnsi="宋体" w:cs="Tahoma"/>
                <w:sz w:val="24"/>
              </w:rPr>
              <w:t>8</w:t>
            </w:r>
          </w:p>
        </w:tc>
        <w:tc>
          <w:tcPr>
            <w:tcW w:w="8778" w:type="dxa"/>
            <w:gridSpan w:val="2"/>
            <w:noWrap w:val="0"/>
            <w:vAlign w:val="center"/>
          </w:tcPr>
          <w:p>
            <w:pPr>
              <w:jc w:val="left"/>
              <w:rPr>
                <w:rFonts w:ascii="宋体" w:hAnsi="宋体" w:cs="Tahoma"/>
                <w:sz w:val="24"/>
              </w:rPr>
            </w:pPr>
            <w:r>
              <w:rPr>
                <w:rFonts w:hint="eastAsia" w:ascii="宋体" w:hAnsi="宋体" w:cs="Tahoma"/>
                <w:sz w:val="24"/>
              </w:rPr>
              <w:t>参加政府采购活动前三年内，在经营活动中没有重大违法记录声明。（格式自拟，加盖公章）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1" w:type="dxa"/>
            <w:noWrap w:val="0"/>
            <w:vAlign w:val="center"/>
          </w:tcPr>
          <w:p>
            <w:pPr>
              <w:jc w:val="center"/>
              <w:rPr>
                <w:rFonts w:ascii="宋体" w:hAnsi="宋体" w:cs="Tahoma"/>
                <w:sz w:val="24"/>
              </w:rPr>
            </w:pPr>
            <w:r>
              <w:rPr>
                <w:rFonts w:hint="eastAsia" w:ascii="宋体" w:hAnsi="宋体" w:cs="Tahoma"/>
                <w:sz w:val="24"/>
              </w:rPr>
              <w:t>9</w:t>
            </w:r>
          </w:p>
        </w:tc>
        <w:tc>
          <w:tcPr>
            <w:tcW w:w="8778" w:type="dxa"/>
            <w:gridSpan w:val="2"/>
            <w:noWrap w:val="0"/>
            <w:vAlign w:val="center"/>
          </w:tcPr>
          <w:p>
            <w:pPr>
              <w:jc w:val="left"/>
              <w:rPr>
                <w:rFonts w:ascii="宋体" w:hAnsi="宋体" w:cs="Tahoma"/>
                <w:sz w:val="24"/>
              </w:rPr>
            </w:pPr>
            <w:r>
              <w:rPr>
                <w:rFonts w:hint="eastAsia" w:ascii="宋体" w:hAnsi="宋体" w:cs="Tahoma"/>
                <w:sz w:val="24"/>
              </w:rPr>
              <w:t>具有良好商业信誉和健全财务会计制度的财务状况的承诺（格式自拟，加盖公章）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noWrap w:val="0"/>
            <w:vAlign w:val="center"/>
          </w:tcPr>
          <w:p>
            <w:pPr>
              <w:jc w:val="center"/>
              <w:rPr>
                <w:rFonts w:ascii="宋体" w:hAnsi="宋体" w:cs="Tahoma"/>
                <w:sz w:val="24"/>
              </w:rPr>
            </w:pPr>
            <w:r>
              <w:rPr>
                <w:rFonts w:hint="eastAsia" w:ascii="宋体" w:hAnsi="宋体" w:cs="Tahoma"/>
                <w:sz w:val="24"/>
              </w:rPr>
              <w:t>10</w:t>
            </w:r>
          </w:p>
        </w:tc>
        <w:tc>
          <w:tcPr>
            <w:tcW w:w="8778" w:type="dxa"/>
            <w:gridSpan w:val="2"/>
            <w:noWrap w:val="0"/>
            <w:vAlign w:val="center"/>
          </w:tcPr>
          <w:p>
            <w:pPr>
              <w:jc w:val="left"/>
              <w:rPr>
                <w:rFonts w:ascii="宋体" w:hAnsi="宋体" w:cs="Tahoma"/>
                <w:sz w:val="24"/>
              </w:rPr>
            </w:pPr>
            <w:r>
              <w:rPr>
                <w:rFonts w:hint="eastAsia" w:ascii="宋体" w:hAnsi="宋体" w:cs="Tahoma"/>
                <w:sz w:val="24"/>
              </w:rPr>
              <w:t>具有履行合同所必需的设备和专业技术能力的承诺（格式自拟，加盖公章）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noWrap w:val="0"/>
            <w:vAlign w:val="center"/>
          </w:tcPr>
          <w:p>
            <w:pPr>
              <w:jc w:val="center"/>
              <w:rPr>
                <w:rFonts w:ascii="宋体" w:hAnsi="宋体" w:cs="Tahoma"/>
                <w:sz w:val="24"/>
              </w:rPr>
            </w:pPr>
            <w:r>
              <w:rPr>
                <w:rFonts w:hint="eastAsia" w:ascii="宋体" w:hAnsi="宋体" w:cs="Tahoma"/>
                <w:sz w:val="24"/>
              </w:rPr>
              <w:t>11</w:t>
            </w:r>
          </w:p>
        </w:tc>
        <w:tc>
          <w:tcPr>
            <w:tcW w:w="8778" w:type="dxa"/>
            <w:gridSpan w:val="2"/>
            <w:noWrap w:val="0"/>
            <w:vAlign w:val="center"/>
          </w:tcPr>
          <w:p>
            <w:pPr>
              <w:jc w:val="left"/>
              <w:rPr>
                <w:rFonts w:ascii="宋体" w:hAnsi="宋体" w:cs="Tahoma"/>
                <w:sz w:val="24"/>
              </w:rPr>
            </w:pPr>
            <w:r>
              <w:rPr>
                <w:rFonts w:hint="eastAsia" w:ascii="宋体" w:hAnsi="宋体"/>
                <w:sz w:val="24"/>
              </w:rPr>
              <w:t>按本投标邀请的规定获取招标文件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noWrap w:val="0"/>
            <w:vAlign w:val="center"/>
          </w:tcPr>
          <w:p>
            <w:pPr>
              <w:jc w:val="center"/>
              <w:rPr>
                <w:rFonts w:ascii="宋体" w:hAnsi="宋体" w:cs="Tahoma"/>
                <w:sz w:val="24"/>
              </w:rPr>
            </w:pPr>
            <w:r>
              <w:rPr>
                <w:rFonts w:hint="eastAsia" w:ascii="宋体" w:hAnsi="宋体" w:cs="Tahoma"/>
                <w:sz w:val="24"/>
              </w:rPr>
              <w:t>12</w:t>
            </w:r>
          </w:p>
        </w:tc>
        <w:tc>
          <w:tcPr>
            <w:tcW w:w="8778" w:type="dxa"/>
            <w:gridSpan w:val="2"/>
            <w:noWrap w:val="0"/>
            <w:vAlign w:val="center"/>
          </w:tcPr>
          <w:p>
            <w:pPr>
              <w:jc w:val="left"/>
              <w:rPr>
                <w:rFonts w:ascii="宋体" w:hAnsi="宋体"/>
                <w:color w:val="FF0000"/>
                <w:sz w:val="24"/>
              </w:rPr>
            </w:pPr>
            <w:r>
              <w:rPr>
                <w:rFonts w:hint="eastAsia" w:ascii="宋体" w:hAnsi="宋体"/>
                <w:color w:val="FF0000"/>
                <w:sz w:val="24"/>
              </w:rPr>
              <w:t>本项目不接受联合体投标/招标文件允许联合体投标时，提供了满足招标文件要求的联合体协议书。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13</w:t>
            </w:r>
          </w:p>
        </w:tc>
        <w:tc>
          <w:tcPr>
            <w:tcW w:w="8778" w:type="dxa"/>
            <w:gridSpan w:val="2"/>
            <w:noWrap w:val="0"/>
            <w:vAlign w:val="center"/>
          </w:tcPr>
          <w:p>
            <w:pPr>
              <w:rPr>
                <w:rFonts w:ascii="宋体" w:hAnsi="宋体" w:cs="Tahoma"/>
                <w:sz w:val="24"/>
              </w:rPr>
            </w:pPr>
            <w:r>
              <w:rPr>
                <w:rFonts w:hint="eastAsia"/>
                <w:sz w:val="24"/>
              </w:rPr>
              <w:t>投标人未被列入</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记录失信被执行人或重大税收违法案件当事人名单或政府采购严重违法失信行为</w:t>
            </w:r>
            <w:r>
              <w:rPr>
                <w:sz w:val="24"/>
              </w:rPr>
              <w:t>”</w:t>
            </w:r>
            <w:r>
              <w:rPr>
                <w:rFonts w:hint="eastAsia"/>
                <w:sz w:val="24"/>
              </w:rPr>
              <w:t>记录名单；不处于中国政府采购网</w:t>
            </w:r>
            <w:r>
              <w:rPr>
                <w:sz w:val="24"/>
              </w:rPr>
              <w:t>(www.ccgp.gov.cn)“</w:t>
            </w:r>
            <w:r>
              <w:rPr>
                <w:rFonts w:hint="eastAsia"/>
                <w:sz w:val="24"/>
              </w:rPr>
              <w:t>政府采购严重违法失信行为信息记录</w:t>
            </w:r>
            <w:r>
              <w:rPr>
                <w:sz w:val="24"/>
              </w:rPr>
              <w:t>”</w:t>
            </w:r>
            <w:r>
              <w:rPr>
                <w:rFonts w:hint="eastAsia"/>
                <w:sz w:val="24"/>
              </w:rPr>
              <w:t>中的禁止参加政府采购活动期间。（以采购代理机构于投标截止日当天在</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）及中国政府采购网（</w:t>
            </w:r>
            <w:r>
              <w:rPr>
                <w:sz w:val="24"/>
              </w:rPr>
              <w:t>http://www.ccgp.gov.cn/</w:t>
            </w:r>
            <w:r>
              <w:rPr>
                <w:rFonts w:hint="eastAsia"/>
                <w:sz w:val="24"/>
              </w:rPr>
              <w:t>）查询结果为准，如相关失信记录已失效，投标人需提供相关证明资料）</w:t>
            </w:r>
            <w:r>
              <w:rPr>
                <w:rFonts w:hint="eastAsia" w:ascii="宋体" w:hAnsi="宋体" w:cs="Tahoma"/>
                <w:kern w:val="28"/>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79" w:type="dxa"/>
            <w:gridSpan w:val="3"/>
            <w:noWrap w:val="0"/>
            <w:vAlign w:val="center"/>
          </w:tcPr>
          <w:p>
            <w:pPr>
              <w:jc w:val="center"/>
              <w:rPr>
                <w:rFonts w:ascii="宋体" w:hAnsi="宋体" w:cs="Tahoma"/>
                <w:sz w:val="24"/>
              </w:rPr>
            </w:pPr>
            <w:r>
              <w:rPr>
                <w:rFonts w:hint="eastAsia" w:ascii="宋体" w:hAnsi="宋体" w:cs="Tahoma"/>
                <w:sz w:val="24"/>
              </w:rPr>
              <w:t>结论</w:t>
            </w:r>
          </w:p>
        </w:tc>
      </w:tr>
    </w:tbl>
    <w:p>
      <w:pPr>
        <w:rPr>
          <w:rFonts w:hint="default" w:ascii="宋体" w:hAnsi="宋体" w:cs="宋体"/>
          <w:color w:val="auto"/>
          <w:lang w:val="en-US" w:eastAsia="zh-CN"/>
        </w:rPr>
      </w:pPr>
    </w:p>
    <w:p>
      <w:pPr>
        <w:numPr>
          <w:numId w:val="0"/>
        </w:numPr>
        <w:rPr>
          <w:rFonts w:hint="eastAsia" w:ascii="宋体" w:hAnsi="宋体" w:cs="宋体"/>
          <w:b/>
          <w:bCs/>
          <w:color w:val="auto"/>
          <w:sz w:val="32"/>
          <w:szCs w:val="40"/>
          <w:lang w:val="en-US" w:eastAsia="zh-CN"/>
        </w:rPr>
      </w:pPr>
      <w:r>
        <w:rPr>
          <w:rFonts w:hint="eastAsia" w:ascii="宋体" w:hAnsi="宋体" w:cs="宋体"/>
          <w:b/>
          <w:bCs/>
          <w:color w:val="auto"/>
          <w:sz w:val="32"/>
          <w:szCs w:val="40"/>
          <w:lang w:val="en-US" w:eastAsia="zh-CN"/>
        </w:rPr>
        <w:t>五、</w:t>
      </w:r>
      <w:bookmarkStart w:id="0" w:name="_GoBack"/>
      <w:bookmarkEnd w:id="0"/>
      <w:r>
        <w:rPr>
          <w:rFonts w:hint="eastAsia" w:ascii="宋体" w:hAnsi="宋体" w:cs="宋体"/>
          <w:b/>
          <w:bCs/>
          <w:color w:val="auto"/>
          <w:sz w:val="32"/>
          <w:szCs w:val="40"/>
          <w:lang w:val="en-US" w:eastAsia="zh-CN"/>
        </w:rPr>
        <w:t>符合性审查</w:t>
      </w:r>
    </w:p>
    <w:tbl>
      <w:tblPr>
        <w:tblStyle w:val="2"/>
        <w:tblW w:w="9781" w:type="dxa"/>
        <w:tblInd w:w="16" w:type="dxa"/>
        <w:tblLayout w:type="fixed"/>
        <w:tblCellMar>
          <w:top w:w="0" w:type="dxa"/>
          <w:left w:w="0" w:type="dxa"/>
          <w:bottom w:w="0" w:type="dxa"/>
          <w:right w:w="0" w:type="dxa"/>
        </w:tblCellMar>
      </w:tblPr>
      <w:tblGrid>
        <w:gridCol w:w="735"/>
        <w:gridCol w:w="9046"/>
      </w:tblGrid>
      <w:tr>
        <w:trPr>
          <w:cantSplit/>
          <w:trHeight w:val="405" w:hRule="atLeast"/>
        </w:trPr>
        <w:tc>
          <w:tcPr>
            <w:tcW w:w="735" w:type="dxa"/>
            <w:vMerge w:val="restart"/>
            <w:tcBorders>
              <w:top w:val="single" w:color="auto" w:sz="4" w:space="0"/>
              <w:left w:val="single" w:color="auto" w:sz="4" w:space="0"/>
              <w:bottom w:val="single" w:color="000000" w:sz="4" w:space="0"/>
              <w:right w:val="single" w:color="auto" w:sz="4" w:space="0"/>
            </w:tcBorders>
            <w:noWrap w:val="0"/>
            <w:tcMar>
              <w:top w:w="16" w:type="dxa"/>
              <w:left w:w="16" w:type="dxa"/>
              <w:bottom w:w="0" w:type="dxa"/>
              <w:right w:w="16" w:type="dxa"/>
            </w:tcMar>
            <w:vAlign w:val="center"/>
          </w:tcPr>
          <w:p>
            <w:pPr>
              <w:spacing w:line="400" w:lineRule="exact"/>
              <w:ind w:right="-120" w:rightChars="-57"/>
              <w:jc w:val="center"/>
              <w:rPr>
                <w:rFonts w:ascii="宋体" w:hAnsi="宋体"/>
                <w:sz w:val="24"/>
              </w:rPr>
            </w:pPr>
            <w:r>
              <w:rPr>
                <w:rFonts w:hint="eastAsia" w:ascii="宋体" w:hAnsi="宋体"/>
                <w:sz w:val="24"/>
              </w:rPr>
              <w:t>序号</w:t>
            </w:r>
          </w:p>
        </w:tc>
        <w:tc>
          <w:tcPr>
            <w:tcW w:w="9046" w:type="dxa"/>
            <w:vMerge w:val="restart"/>
            <w:tcBorders>
              <w:top w:val="single" w:color="auto" w:sz="4" w:space="0"/>
              <w:left w:val="single" w:color="auto" w:sz="4" w:space="0"/>
              <w:bottom w:val="single" w:color="000000" w:sz="4" w:space="0"/>
              <w:right w:val="single" w:color="000000" w:sz="4" w:space="0"/>
            </w:tcBorders>
            <w:noWrap w:val="0"/>
            <w:vAlign w:val="center"/>
          </w:tcPr>
          <w:p>
            <w:pPr>
              <w:spacing w:line="400" w:lineRule="exact"/>
              <w:ind w:right="-120" w:rightChars="-57"/>
              <w:jc w:val="center"/>
              <w:rPr>
                <w:rFonts w:ascii="宋体" w:hAnsi="宋体"/>
                <w:sz w:val="24"/>
              </w:rPr>
            </w:pPr>
            <w:r>
              <w:rPr>
                <w:rFonts w:hint="eastAsia" w:ascii="宋体" w:hAnsi="宋体"/>
                <w:sz w:val="24"/>
              </w:rPr>
              <w:t>评审内容</w:t>
            </w:r>
          </w:p>
        </w:tc>
      </w:tr>
      <w:tr>
        <w:tblPrEx>
          <w:tblCellMar>
            <w:top w:w="0" w:type="dxa"/>
            <w:left w:w="0" w:type="dxa"/>
            <w:bottom w:w="0" w:type="dxa"/>
            <w:right w:w="0" w:type="dxa"/>
          </w:tblCellMar>
        </w:tblPrEx>
        <w:trPr>
          <w:cantSplit/>
          <w:trHeight w:val="405" w:hRule="atLeast"/>
        </w:trPr>
        <w:tc>
          <w:tcPr>
            <w:tcW w:w="735"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400" w:lineRule="exact"/>
              <w:rPr>
                <w:rFonts w:ascii="宋体" w:hAnsi="宋体"/>
                <w:sz w:val="24"/>
              </w:rPr>
            </w:pPr>
          </w:p>
        </w:tc>
        <w:tc>
          <w:tcPr>
            <w:tcW w:w="9046" w:type="dxa"/>
            <w:vMerge w:val="continue"/>
            <w:tcBorders>
              <w:top w:val="single" w:color="auto" w:sz="4" w:space="0"/>
              <w:left w:val="single" w:color="auto" w:sz="4" w:space="0"/>
              <w:bottom w:val="single" w:color="000000" w:sz="4" w:space="0"/>
              <w:right w:val="single" w:color="000000" w:sz="4" w:space="0"/>
            </w:tcBorders>
            <w:noWrap w:val="0"/>
            <w:vAlign w:val="center"/>
          </w:tcPr>
          <w:p>
            <w:pPr>
              <w:spacing w:line="400" w:lineRule="exact"/>
              <w:rPr>
                <w:rFonts w:ascii="宋体" w:hAnsi="宋体"/>
                <w:sz w:val="24"/>
              </w:rPr>
            </w:pPr>
          </w:p>
        </w:tc>
      </w:tr>
      <w:tr>
        <w:tblPrEx>
          <w:tblCellMar>
            <w:top w:w="0" w:type="dxa"/>
            <w:left w:w="0" w:type="dxa"/>
            <w:bottom w:w="0" w:type="dxa"/>
            <w:right w:w="0" w:type="dxa"/>
          </w:tblCellMar>
        </w:tblPrEx>
        <w:trPr>
          <w:trHeight w:val="454" w:hRule="atLeast"/>
        </w:trPr>
        <w:tc>
          <w:tcPr>
            <w:tcW w:w="735"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w:t>
            </w:r>
          </w:p>
        </w:tc>
        <w:tc>
          <w:tcPr>
            <w:tcW w:w="9046" w:type="dxa"/>
            <w:tcBorders>
              <w:top w:val="nil"/>
              <w:left w:val="single" w:color="auto" w:sz="4" w:space="0"/>
              <w:bottom w:val="single" w:color="auto" w:sz="4" w:space="0"/>
              <w:right w:val="single" w:color="auto" w:sz="4" w:space="0"/>
            </w:tcBorders>
            <w:noWrap w:val="0"/>
            <w:vAlign w:val="center"/>
          </w:tcPr>
          <w:p>
            <w:pPr>
              <w:pStyle w:val="4"/>
              <w:widowControl w:val="0"/>
              <w:pBdr>
                <w:bottom w:val="none" w:color="auto" w:sz="0" w:space="0"/>
                <w:right w:val="none" w:color="auto" w:sz="0" w:space="0"/>
              </w:pBdr>
              <w:spacing w:before="0" w:beforeAutospacing="0" w:after="0" w:afterAutospacing="0" w:line="400" w:lineRule="exact"/>
              <w:jc w:val="both"/>
              <w:rPr>
                <w:kern w:val="2"/>
                <w:sz w:val="24"/>
                <w:szCs w:val="24"/>
              </w:rPr>
            </w:pPr>
            <w:r>
              <w:rPr>
                <w:rFonts w:hint="eastAsia"/>
                <w:color w:val="000000"/>
                <w:sz w:val="24"/>
                <w:szCs w:val="24"/>
              </w:rPr>
              <w:t>是否由法人代表或授权代表有效签署</w:t>
            </w:r>
          </w:p>
        </w:tc>
      </w:tr>
      <w:tr>
        <w:tblPrEx>
          <w:tblCellMar>
            <w:top w:w="0" w:type="dxa"/>
            <w:left w:w="0" w:type="dxa"/>
            <w:bottom w:w="0" w:type="dxa"/>
            <w:right w:w="0" w:type="dxa"/>
          </w:tblCellMar>
        </w:tblPrEx>
        <w:trPr>
          <w:trHeight w:val="454" w:hRule="atLeast"/>
        </w:trPr>
        <w:tc>
          <w:tcPr>
            <w:tcW w:w="735"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2</w:t>
            </w:r>
          </w:p>
        </w:tc>
        <w:tc>
          <w:tcPr>
            <w:tcW w:w="9046" w:type="dxa"/>
            <w:tcBorders>
              <w:top w:val="nil"/>
              <w:left w:val="single" w:color="auto" w:sz="4" w:space="0"/>
              <w:bottom w:val="single" w:color="auto" w:sz="4" w:space="0"/>
              <w:right w:val="single" w:color="auto" w:sz="4" w:space="0"/>
            </w:tcBorders>
            <w:noWrap w:val="0"/>
            <w:vAlign w:val="center"/>
          </w:tcPr>
          <w:p>
            <w:pPr>
              <w:pStyle w:val="4"/>
              <w:widowControl w:val="0"/>
              <w:pBdr>
                <w:bottom w:val="none" w:color="auto" w:sz="0" w:space="0"/>
                <w:right w:val="none" w:color="auto" w:sz="0" w:space="0"/>
              </w:pBdr>
              <w:spacing w:before="0" w:beforeAutospacing="0" w:after="0" w:afterAutospacing="0" w:line="400" w:lineRule="exact"/>
              <w:jc w:val="both"/>
              <w:rPr>
                <w:color w:val="000000"/>
                <w:sz w:val="24"/>
                <w:szCs w:val="24"/>
              </w:rPr>
            </w:pPr>
            <w:r>
              <w:rPr>
                <w:rFonts w:hint="eastAsia"/>
                <w:color w:val="000000"/>
                <w:sz w:val="24"/>
                <w:szCs w:val="24"/>
              </w:rPr>
              <w:t>是否按招标文件规定提供法人代表授权书（如适用）</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3</w:t>
            </w:r>
          </w:p>
        </w:tc>
        <w:tc>
          <w:tcPr>
            <w:tcW w:w="9046" w:type="dxa"/>
            <w:tcBorders>
              <w:top w:val="single" w:color="auto" w:sz="4" w:space="0"/>
              <w:left w:val="single" w:color="auto" w:sz="4" w:space="0"/>
              <w:bottom w:val="single" w:color="000000" w:sz="4" w:space="0"/>
              <w:right w:val="single" w:color="000000" w:sz="4" w:space="0"/>
            </w:tcBorders>
            <w:noWrap w:val="0"/>
            <w:vAlign w:val="center"/>
          </w:tcPr>
          <w:p>
            <w:pPr>
              <w:spacing w:line="400" w:lineRule="exact"/>
              <w:rPr>
                <w:rFonts w:ascii="宋体" w:hAnsi="宋体"/>
                <w:sz w:val="24"/>
              </w:rPr>
            </w:pPr>
            <w:r>
              <w:rPr>
                <w:rFonts w:hint="eastAsia" w:ascii="宋体" w:hAnsi="宋体"/>
                <w:color w:val="000000"/>
                <w:sz w:val="24"/>
              </w:rPr>
              <w:t>是否按招标文件规定要求密封、签署、盖章</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4</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hint="eastAsia" w:ascii="宋体" w:hAnsi="宋体"/>
                <w:sz w:val="24"/>
              </w:rPr>
              <w:t>投标有效期是否满足招标文件（</w:t>
            </w:r>
            <w:r>
              <w:rPr>
                <w:rFonts w:hint="eastAsia" w:ascii="宋体" w:hAnsi="宋体"/>
                <w:sz w:val="24"/>
                <w:highlight w:val="yellow"/>
              </w:rPr>
              <w:t>不少于150天</w:t>
            </w:r>
            <w:r>
              <w:rPr>
                <w:rFonts w:hint="eastAsia" w:ascii="宋体" w:hAnsi="宋体"/>
                <w:sz w:val="24"/>
              </w:rPr>
              <w:t>）</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5</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pStyle w:val="4"/>
              <w:widowControl w:val="0"/>
              <w:pBdr>
                <w:bottom w:val="none" w:color="auto" w:sz="0" w:space="0"/>
                <w:right w:val="none" w:color="auto" w:sz="0" w:space="0"/>
              </w:pBdr>
              <w:spacing w:before="0" w:beforeAutospacing="0" w:after="0" w:afterAutospacing="0" w:line="400" w:lineRule="exact"/>
              <w:jc w:val="both"/>
              <w:rPr>
                <w:kern w:val="2"/>
                <w:sz w:val="24"/>
                <w:szCs w:val="24"/>
              </w:rPr>
            </w:pPr>
            <w:r>
              <w:rPr>
                <w:rFonts w:hint="eastAsia"/>
                <w:sz w:val="24"/>
                <w:szCs w:val="24"/>
              </w:rPr>
              <w:t>是否按招标文件规定提交足额投标保证金</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6</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pStyle w:val="4"/>
              <w:widowControl w:val="0"/>
              <w:pBdr>
                <w:bottom w:val="none" w:color="auto" w:sz="0" w:space="0"/>
                <w:right w:val="none" w:color="auto" w:sz="0" w:space="0"/>
              </w:pBdr>
              <w:spacing w:before="0" w:beforeAutospacing="0" w:after="0" w:afterAutospacing="0" w:line="400" w:lineRule="exact"/>
              <w:jc w:val="both"/>
              <w:rPr>
                <w:sz w:val="24"/>
                <w:szCs w:val="24"/>
              </w:rPr>
            </w:pPr>
            <w:r>
              <w:rPr>
                <w:rFonts w:hint="eastAsia"/>
                <w:sz w:val="24"/>
                <w:szCs w:val="24"/>
              </w:rPr>
              <w:t>投标保证金的有效期是否满足招标文件（同投标有效期）</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7</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ascii="宋体" w:hAnsi="宋体"/>
                <w:sz w:val="24"/>
              </w:rPr>
              <w:t>投标</w:t>
            </w:r>
            <w:r>
              <w:rPr>
                <w:rFonts w:hint="eastAsia" w:ascii="宋体" w:hAnsi="宋体"/>
                <w:sz w:val="24"/>
              </w:rPr>
              <w:t>报价是否固定唯一，</w:t>
            </w:r>
            <w:r>
              <w:rPr>
                <w:rFonts w:hint="eastAsia" w:ascii="宋体" w:hAnsi="宋体" w:cs="宋体"/>
                <w:sz w:val="24"/>
              </w:rPr>
              <w:t>投标报价</w:t>
            </w:r>
            <w:r>
              <w:rPr>
                <w:rFonts w:hint="eastAsia" w:ascii="宋体" w:hAnsi="宋体"/>
                <w:sz w:val="24"/>
              </w:rPr>
              <w:t>是否</w:t>
            </w:r>
            <w:r>
              <w:rPr>
                <w:rFonts w:hint="eastAsia" w:ascii="宋体" w:hAnsi="宋体" w:cs="宋体"/>
                <w:sz w:val="24"/>
              </w:rPr>
              <w:t>超过采购预算（设置最高限价的，以最高限价为准）</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8</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hint="eastAsia" w:ascii="宋体" w:hAnsi="宋体"/>
                <w:color w:val="000000"/>
                <w:sz w:val="24"/>
              </w:rPr>
              <w:t>招标文件中明确规定不接受进口产品的，投标人是否提供了进口产品</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9</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color w:val="000000"/>
                <w:sz w:val="24"/>
              </w:rPr>
            </w:pPr>
            <w:r>
              <w:rPr>
                <w:rFonts w:hint="eastAsia" w:ascii="宋体" w:hAnsi="宋体"/>
                <w:color w:val="000000"/>
                <w:sz w:val="24"/>
              </w:rPr>
              <w:t>是否按招标文件要求提供制造厂家的授权书（进口货物适用）</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10</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ascii="宋体" w:hAnsi="宋体" w:cs="宋体"/>
                <w:color w:val="000000"/>
                <w:sz w:val="24"/>
              </w:rPr>
              <w:t>如</w:t>
            </w:r>
            <w:r>
              <w:rPr>
                <w:rFonts w:hint="eastAsia" w:ascii="宋体" w:hAnsi="宋体" w:cs="宋体"/>
                <w:color w:val="000000"/>
                <w:sz w:val="24"/>
              </w:rPr>
              <w:t>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会</w:t>
            </w:r>
            <w:r>
              <w:rPr>
                <w:rFonts w:ascii="inherit" w:hAnsi="inherit" w:cs="宋体"/>
                <w:color w:val="000000"/>
                <w:kern w:val="0"/>
                <w:sz w:val="24"/>
              </w:rPr>
              <w:t>将其作为无效投标处理</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11</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hint="eastAsia" w:ascii="宋体" w:hAnsi="宋体"/>
                <w:color w:val="000000"/>
                <w:sz w:val="24"/>
              </w:rPr>
              <w:t>是否符合招标文件规定的其它实质性要求</w:t>
            </w:r>
            <w:r>
              <w:rPr>
                <w:rFonts w:hint="eastAsia" w:ascii="宋体" w:hAnsi="宋体" w:cs="宋体"/>
                <w:kern w:val="1"/>
                <w:sz w:val="24"/>
              </w:rPr>
              <w:t>（须</w:t>
            </w:r>
            <w:r>
              <w:rPr>
                <w:rFonts w:hint="eastAsia" w:ascii="宋体" w:hAnsi="宋体"/>
                <w:sz w:val="24"/>
              </w:rPr>
              <w:t>满足带*条款</w:t>
            </w:r>
            <w:r>
              <w:rPr>
                <w:rFonts w:hint="eastAsia" w:ascii="宋体" w:hAnsi="宋体" w:cs="宋体"/>
                <w:kern w:val="1"/>
                <w:sz w:val="24"/>
              </w:rPr>
              <w:t>）</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12</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hint="eastAsia" w:ascii="宋体" w:hAnsi="宋体" w:cs="宋体"/>
                <w:sz w:val="24"/>
              </w:rPr>
              <w:t>投标文件</w:t>
            </w:r>
            <w:r>
              <w:rPr>
                <w:rFonts w:ascii="宋体" w:hAnsi="宋体"/>
                <w:sz w:val="24"/>
              </w:rPr>
              <w:t>是否</w:t>
            </w:r>
            <w:r>
              <w:rPr>
                <w:rFonts w:hint="eastAsia" w:ascii="宋体" w:hAnsi="宋体" w:cs="宋体"/>
                <w:sz w:val="24"/>
              </w:rPr>
              <w:t>有招标文件中规定的其它无效投标条款</w:t>
            </w:r>
          </w:p>
        </w:tc>
      </w:tr>
      <w:tr>
        <w:tblPrEx>
          <w:tblCellMar>
            <w:top w:w="0" w:type="dxa"/>
            <w:left w:w="0" w:type="dxa"/>
            <w:bottom w:w="0" w:type="dxa"/>
            <w:right w:w="0" w:type="dxa"/>
          </w:tblCellMar>
        </w:tblPrEx>
        <w:trPr>
          <w:trHeight w:val="617" w:hRule="atLeast"/>
        </w:trPr>
        <w:tc>
          <w:tcPr>
            <w:tcW w:w="9781" w:type="dxa"/>
            <w:gridSpan w:val="2"/>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结    论</w:t>
            </w:r>
          </w:p>
        </w:tc>
      </w:tr>
    </w:tbl>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DB10D"/>
    <w:multiLevelType w:val="singleLevel"/>
    <w:tmpl w:val="A2DDB10D"/>
    <w:lvl w:ilvl="0" w:tentative="0">
      <w:start w:val="1"/>
      <w:numFmt w:val="decimal"/>
      <w:suff w:val="nothing"/>
      <w:lvlText w:val="%1、"/>
      <w:lvlJc w:val="left"/>
    </w:lvl>
  </w:abstractNum>
  <w:abstractNum w:abstractNumId="1">
    <w:nsid w:val="7BAF937D"/>
    <w:multiLevelType w:val="singleLevel"/>
    <w:tmpl w:val="7BAF937D"/>
    <w:lvl w:ilvl="0" w:tentative="0">
      <w:start w:val="3"/>
      <w:numFmt w:val="chineseCounting"/>
      <w:suff w:val="nothing"/>
      <w:lvlText w:val="%1、"/>
      <w:lvlJc w:val="left"/>
      <w:rPr>
        <w:rFonts w:hint="eastAsia" w:ascii="宋体" w:hAnsi="宋体" w:eastAsia="宋体" w:cs="宋体"/>
        <w:b/>
        <w:bCs/>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C59DE"/>
    <w:rsid w:val="1CA02615"/>
    <w:rsid w:val="1F25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2021-08-23T02:28:00Z</dcterms:created>
  <dc:creator>Finance</dc:creator>
  <cp:lastModifiedBy>李浩然</cp:lastModifiedBy>
  <dcterms:modified xsi:type="dcterms:W3CDTF">2021-08-24T03:13:27Z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9699A8F5FF1B4ADA9CC2733ADD6E0849</vt:lpwstr>
  </property>
</Properties>
</file>